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A94E4A" w14:textId="48E56F8F" w:rsidR="00480E88" w:rsidRDefault="00480E88" w:rsidP="00480E88">
      <w:pPr>
        <w:rPr>
          <w:b/>
          <w:bCs/>
        </w:rPr>
      </w:pPr>
      <w:r>
        <w:rPr>
          <w:rFonts w:hint="eastAsia"/>
          <w:b/>
          <w:bCs/>
        </w:rPr>
        <w:t>中瑞</w:t>
      </w:r>
      <w:proofErr w:type="gramStart"/>
      <w:r>
        <w:rPr>
          <w:rFonts w:hint="eastAsia"/>
          <w:b/>
          <w:bCs/>
        </w:rPr>
        <w:t>祥</w:t>
      </w:r>
      <w:proofErr w:type="gramEnd"/>
      <w:r w:rsidRPr="00480E88">
        <w:rPr>
          <w:rFonts w:hint="eastAsia"/>
          <w:b/>
          <w:bCs/>
        </w:rPr>
        <w:t>涡旋仪工作原理特点和使用方式</w:t>
      </w:r>
    </w:p>
    <w:p w14:paraId="354EBAB1" w14:textId="18D7B0B6" w:rsidR="00480E88" w:rsidRPr="00480E88" w:rsidRDefault="00480E88" w:rsidP="00480E88">
      <w:pPr>
        <w:rPr>
          <w:rFonts w:hint="eastAsia"/>
          <w:b/>
          <w:bCs/>
        </w:rPr>
      </w:pPr>
      <w:r>
        <w:rPr>
          <w:noProof/>
        </w:rPr>
        <w:drawing>
          <wp:inline distT="0" distB="0" distL="0" distR="0" wp14:anchorId="683C2F88" wp14:editId="66B3BFF3">
            <wp:extent cx="3571240" cy="3571240"/>
            <wp:effectExtent l="0" t="0" r="0" b="0"/>
            <wp:docPr id="15334064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71240" cy="3571240"/>
                    </a:xfrm>
                    <a:prstGeom prst="rect">
                      <a:avLst/>
                    </a:prstGeom>
                    <a:noFill/>
                    <a:ln>
                      <a:noFill/>
                    </a:ln>
                  </pic:spPr>
                </pic:pic>
              </a:graphicData>
            </a:graphic>
          </wp:inline>
        </w:drawing>
      </w:r>
    </w:p>
    <w:p w14:paraId="772D2946" w14:textId="77777777" w:rsidR="00480E88" w:rsidRPr="00480E88" w:rsidRDefault="00480E88" w:rsidP="00480E88">
      <w:pPr>
        <w:rPr>
          <w:b/>
          <w:bCs/>
        </w:rPr>
      </w:pPr>
    </w:p>
    <w:p w14:paraId="284967E7" w14:textId="1A954BB5" w:rsidR="0010765D" w:rsidRPr="00480E88" w:rsidRDefault="00480E88" w:rsidP="00480E88">
      <w:r w:rsidRPr="00480E88">
        <w:rPr>
          <w:rFonts w:hint="eastAsia"/>
        </w:rPr>
        <w:t>涡旋仪的工作原理主要是利用电路元件的电磁场产生偏心旋转及振荡，或者是由马达带动偏心组件（偏心球轴承）产生偏心旋转。当设备带动试管或其他容器中的液体进行旋转时，这些液体就会形成旋涡状振荡，从而达到溶液混合均匀的目的。通过调整偏心圆环的转速和位置，可以控制涡旋流动的速度和方向。这种高效的混合方式能够显著提升实验或生产过程中的操作效率。</w:t>
      </w:r>
    </w:p>
    <w:p w14:paraId="6FA6E565" w14:textId="77777777" w:rsidR="00480E88" w:rsidRDefault="00480E88" w:rsidP="00480E88">
      <w:pPr>
        <w:rPr>
          <w:b/>
          <w:bCs/>
        </w:rPr>
      </w:pPr>
    </w:p>
    <w:p w14:paraId="3D7FF64A" w14:textId="77777777" w:rsidR="00480E88" w:rsidRDefault="00480E88" w:rsidP="00480E88">
      <w:r>
        <w:rPr>
          <w:rFonts w:hint="eastAsia"/>
        </w:rPr>
        <w:t>涡旋仪的类型特点和使用方式</w:t>
      </w:r>
    </w:p>
    <w:p w14:paraId="711853D0" w14:textId="77777777" w:rsidR="00480E88" w:rsidRDefault="00480E88" w:rsidP="00480E88"/>
    <w:p w14:paraId="5B43E452" w14:textId="4D545816" w:rsidR="00480E88" w:rsidRDefault="00480E88" w:rsidP="00480E88">
      <w:r>
        <w:rPr>
          <w:rFonts w:hint="eastAsia"/>
        </w:rPr>
        <w:t>将溶液装入离心管或试管等容器中并置于涡旋仪的振荡头或适配器上，启动设备，调整转速即可完成振荡混匀。</w:t>
      </w:r>
    </w:p>
    <w:p w14:paraId="77ED5ABD" w14:textId="77777777" w:rsidR="00480E88" w:rsidRDefault="00480E88" w:rsidP="00480E88"/>
    <w:p w14:paraId="3DFE50EC" w14:textId="77777777" w:rsidR="00480E88" w:rsidRDefault="00480E88" w:rsidP="00480E88">
      <w:r>
        <w:rPr>
          <w:rFonts w:hint="eastAsia"/>
        </w:rPr>
        <w:t>根据启动方式的不同，涡旋仪可分为：</w:t>
      </w:r>
    </w:p>
    <w:p w14:paraId="60733FC7" w14:textId="77777777" w:rsidR="00480E88" w:rsidRDefault="00480E88" w:rsidP="00480E88"/>
    <w:p w14:paraId="4062B186" w14:textId="77777777" w:rsidR="00480E88" w:rsidRDefault="00480E88" w:rsidP="00480E88">
      <w:r>
        <w:rPr>
          <w:rFonts w:hint="eastAsia"/>
        </w:rPr>
        <w:t>点动（点触）的类型：通过按压振荡头</w:t>
      </w:r>
      <w:r>
        <w:t>/顶部适配器的方式触控设备，并且需要一直保持按压以便带动样品涡旋振荡混合，不再按压后设备自动停止。这是经典涡旋仪的启停方式，适用性较广。但由于必须施加一定的压力并且保持按压方可触发设备的启动运行，对于样品数量大的实验需求并不友好，需要消耗实验人员不少力气，引起重复性劳损。</w:t>
      </w:r>
    </w:p>
    <w:p w14:paraId="254141AA" w14:textId="77777777" w:rsidR="00480E88" w:rsidRDefault="00480E88" w:rsidP="00480E88"/>
    <w:p w14:paraId="5380E462" w14:textId="77777777" w:rsidR="00480E88" w:rsidRDefault="00480E88" w:rsidP="00480E88">
      <w:r>
        <w:rPr>
          <w:rFonts w:hint="eastAsia"/>
        </w:rPr>
        <w:t>红外感应的类型：通过红外传感器自动检测到样品的接近并启动设备，样品接触振荡头</w:t>
      </w:r>
      <w:r>
        <w:t>/适配器后即可涡旋振荡混合，取走样品后设备自动停止，全程无需施力按压。这是近年出现的新技术手段，适用性较广的同时，免按压功能为实验人员省却了大量的力气损耗。此类产品尤其适用于日常样品量较大的实验情形，并且对女性实验人员非常友好。</w:t>
      </w:r>
    </w:p>
    <w:p w14:paraId="12C66456" w14:textId="77777777" w:rsidR="00480E88" w:rsidRDefault="00480E88" w:rsidP="00480E88"/>
    <w:p w14:paraId="6003FDD3" w14:textId="77777777" w:rsidR="00480E88" w:rsidRDefault="00480E88" w:rsidP="00480E88">
      <w:r>
        <w:rPr>
          <w:rFonts w:hint="eastAsia"/>
        </w:rPr>
        <w:lastRenderedPageBreak/>
        <w:t>连续振荡模式：通过开关实现设备的连续工作，适用于特定适配器以及需要长时间振荡混匀的样品，以及样品体积较大或多管涡旋仪。通常点动或红外感应的涡旋仪都具备此项功能。</w:t>
      </w:r>
    </w:p>
    <w:p w14:paraId="272D1865" w14:textId="77777777" w:rsidR="00480E88" w:rsidRDefault="00480E88" w:rsidP="00480E88"/>
    <w:p w14:paraId="00C1DC39" w14:textId="77777777" w:rsidR="00480E88" w:rsidRDefault="00480E88" w:rsidP="00480E88">
      <w:r>
        <w:rPr>
          <w:rFonts w:hint="eastAsia"/>
        </w:rPr>
        <w:t>适用于多种液体：可用于处理各种不同性质的液体，如悬浮液、乳浊液等。</w:t>
      </w:r>
    </w:p>
    <w:p w14:paraId="282A1E59" w14:textId="77777777" w:rsidR="00480E88" w:rsidRDefault="00480E88" w:rsidP="00480E88">
      <w:r>
        <w:rPr>
          <w:rFonts w:hint="eastAsia"/>
        </w:rPr>
        <w:t>易于操作：使用简单，操作方便。</w:t>
      </w:r>
    </w:p>
    <w:p w14:paraId="72DAF32E" w14:textId="77777777" w:rsidR="00480E88" w:rsidRDefault="00480E88" w:rsidP="00480E88">
      <w:r>
        <w:rPr>
          <w:rFonts w:hint="eastAsia"/>
        </w:rPr>
        <w:t>可定制化：可根据用户需求定制不同规格和形状的涡旋发生器、振荡头或适配器，适用于不同类型的样品以及容器。</w:t>
      </w:r>
    </w:p>
    <w:p w14:paraId="2C9D2977" w14:textId="54B00F8D" w:rsidR="00480E88" w:rsidRPr="00480E88" w:rsidRDefault="00480E88" w:rsidP="00480E88">
      <w:pPr>
        <w:rPr>
          <w:rFonts w:hint="eastAsia"/>
        </w:rPr>
      </w:pPr>
      <w:r>
        <w:rPr>
          <w:rFonts w:hint="eastAsia"/>
        </w:rPr>
        <w:t>值得一提的是，涡旋仪在处理易粘附在容器壁上的液体样本时，表现得尤为出色。通过其工作原理，能够实现液体在容器中的全方位均匀混合</w:t>
      </w:r>
    </w:p>
    <w:sectPr w:rsidR="00480E88" w:rsidRPr="00480E8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65D"/>
    <w:rsid w:val="0010765D"/>
    <w:rsid w:val="00480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6833B"/>
  <w15:chartTrackingRefBased/>
  <w15:docId w15:val="{F1BAF9D2-B65C-44A6-919B-BA66AF93C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80E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17424">
      <w:bodyDiv w:val="1"/>
      <w:marLeft w:val="0"/>
      <w:marRight w:val="0"/>
      <w:marTop w:val="0"/>
      <w:marBottom w:val="0"/>
      <w:divBdr>
        <w:top w:val="none" w:sz="0" w:space="0" w:color="auto"/>
        <w:left w:val="none" w:sz="0" w:space="0" w:color="auto"/>
        <w:bottom w:val="none" w:sz="0" w:space="0" w:color="auto"/>
        <w:right w:val="none" w:sz="0" w:space="0" w:color="auto"/>
      </w:divBdr>
    </w:div>
    <w:div w:id="166095580">
      <w:bodyDiv w:val="1"/>
      <w:marLeft w:val="0"/>
      <w:marRight w:val="0"/>
      <w:marTop w:val="0"/>
      <w:marBottom w:val="0"/>
      <w:divBdr>
        <w:top w:val="none" w:sz="0" w:space="0" w:color="auto"/>
        <w:left w:val="none" w:sz="0" w:space="0" w:color="auto"/>
        <w:bottom w:val="none" w:sz="0" w:space="0" w:color="auto"/>
        <w:right w:val="none" w:sz="0" w:space="0" w:color="auto"/>
      </w:divBdr>
    </w:div>
    <w:div w:id="352072453">
      <w:bodyDiv w:val="1"/>
      <w:marLeft w:val="0"/>
      <w:marRight w:val="0"/>
      <w:marTop w:val="0"/>
      <w:marBottom w:val="0"/>
      <w:divBdr>
        <w:top w:val="none" w:sz="0" w:space="0" w:color="auto"/>
        <w:left w:val="none" w:sz="0" w:space="0" w:color="auto"/>
        <w:bottom w:val="none" w:sz="0" w:space="0" w:color="auto"/>
        <w:right w:val="none" w:sz="0" w:space="0" w:color="auto"/>
      </w:divBdr>
    </w:div>
    <w:div w:id="411783035">
      <w:bodyDiv w:val="1"/>
      <w:marLeft w:val="0"/>
      <w:marRight w:val="0"/>
      <w:marTop w:val="0"/>
      <w:marBottom w:val="0"/>
      <w:divBdr>
        <w:top w:val="none" w:sz="0" w:space="0" w:color="auto"/>
        <w:left w:val="none" w:sz="0" w:space="0" w:color="auto"/>
        <w:bottom w:val="none" w:sz="0" w:space="0" w:color="auto"/>
        <w:right w:val="none" w:sz="0" w:space="0" w:color="auto"/>
      </w:divBdr>
    </w:div>
    <w:div w:id="467093987">
      <w:bodyDiv w:val="1"/>
      <w:marLeft w:val="0"/>
      <w:marRight w:val="0"/>
      <w:marTop w:val="0"/>
      <w:marBottom w:val="0"/>
      <w:divBdr>
        <w:top w:val="none" w:sz="0" w:space="0" w:color="auto"/>
        <w:left w:val="none" w:sz="0" w:space="0" w:color="auto"/>
        <w:bottom w:val="none" w:sz="0" w:space="0" w:color="auto"/>
        <w:right w:val="none" w:sz="0" w:space="0" w:color="auto"/>
      </w:divBdr>
    </w:div>
    <w:div w:id="1211307664">
      <w:bodyDiv w:val="1"/>
      <w:marLeft w:val="0"/>
      <w:marRight w:val="0"/>
      <w:marTop w:val="0"/>
      <w:marBottom w:val="0"/>
      <w:divBdr>
        <w:top w:val="none" w:sz="0" w:space="0" w:color="auto"/>
        <w:left w:val="none" w:sz="0" w:space="0" w:color="auto"/>
        <w:bottom w:val="none" w:sz="0" w:space="0" w:color="auto"/>
        <w:right w:val="none" w:sz="0" w:space="0" w:color="auto"/>
      </w:divBdr>
    </w:div>
    <w:div w:id="1273588075">
      <w:bodyDiv w:val="1"/>
      <w:marLeft w:val="0"/>
      <w:marRight w:val="0"/>
      <w:marTop w:val="0"/>
      <w:marBottom w:val="0"/>
      <w:divBdr>
        <w:top w:val="none" w:sz="0" w:space="0" w:color="auto"/>
        <w:left w:val="none" w:sz="0" w:space="0" w:color="auto"/>
        <w:bottom w:val="none" w:sz="0" w:space="0" w:color="auto"/>
        <w:right w:val="none" w:sz="0" w:space="0" w:color="auto"/>
      </w:divBdr>
    </w:div>
    <w:div w:id="1772781352">
      <w:bodyDiv w:val="1"/>
      <w:marLeft w:val="0"/>
      <w:marRight w:val="0"/>
      <w:marTop w:val="0"/>
      <w:marBottom w:val="0"/>
      <w:divBdr>
        <w:top w:val="none" w:sz="0" w:space="0" w:color="auto"/>
        <w:left w:val="none" w:sz="0" w:space="0" w:color="auto"/>
        <w:bottom w:val="none" w:sz="0" w:space="0" w:color="auto"/>
        <w:right w:val="none" w:sz="0" w:space="0" w:color="auto"/>
      </w:divBdr>
    </w:div>
    <w:div w:id="1882473999">
      <w:bodyDiv w:val="1"/>
      <w:marLeft w:val="0"/>
      <w:marRight w:val="0"/>
      <w:marTop w:val="0"/>
      <w:marBottom w:val="0"/>
      <w:divBdr>
        <w:top w:val="none" w:sz="0" w:space="0" w:color="auto"/>
        <w:left w:val="none" w:sz="0" w:space="0" w:color="auto"/>
        <w:bottom w:val="none" w:sz="0" w:space="0" w:color="auto"/>
        <w:right w:val="none" w:sz="0" w:space="0" w:color="auto"/>
      </w:divBdr>
    </w:div>
    <w:div w:id="1976711538">
      <w:bodyDiv w:val="1"/>
      <w:marLeft w:val="0"/>
      <w:marRight w:val="0"/>
      <w:marTop w:val="0"/>
      <w:marBottom w:val="0"/>
      <w:divBdr>
        <w:top w:val="none" w:sz="0" w:space="0" w:color="auto"/>
        <w:left w:val="none" w:sz="0" w:space="0" w:color="auto"/>
        <w:bottom w:val="none" w:sz="0" w:space="0" w:color="auto"/>
        <w:right w:val="none" w:sz="0" w:space="0" w:color="auto"/>
      </w:divBdr>
      <w:divsChild>
        <w:div w:id="295836523">
          <w:marLeft w:val="0"/>
          <w:marRight w:val="0"/>
          <w:marTop w:val="0"/>
          <w:marBottom w:val="0"/>
          <w:divBdr>
            <w:top w:val="none" w:sz="0" w:space="0" w:color="auto"/>
            <w:left w:val="none" w:sz="0" w:space="0" w:color="auto"/>
            <w:bottom w:val="none" w:sz="0" w:space="0" w:color="auto"/>
            <w:right w:val="none" w:sz="0" w:space="0" w:color="auto"/>
          </w:divBdr>
        </w:div>
        <w:div w:id="1615674892">
          <w:marLeft w:val="0"/>
          <w:marRight w:val="0"/>
          <w:marTop w:val="0"/>
          <w:marBottom w:val="0"/>
          <w:divBdr>
            <w:top w:val="none" w:sz="0" w:space="0" w:color="auto"/>
            <w:left w:val="none" w:sz="0" w:space="0" w:color="auto"/>
            <w:bottom w:val="none" w:sz="0" w:space="0" w:color="auto"/>
            <w:right w:val="none" w:sz="0" w:space="0" w:color="auto"/>
          </w:divBdr>
        </w:div>
        <w:div w:id="1910843269">
          <w:marLeft w:val="0"/>
          <w:marRight w:val="0"/>
          <w:marTop w:val="0"/>
          <w:marBottom w:val="0"/>
          <w:divBdr>
            <w:top w:val="none" w:sz="0" w:space="0" w:color="auto"/>
            <w:left w:val="none" w:sz="0" w:space="0" w:color="auto"/>
            <w:bottom w:val="none" w:sz="0" w:space="0" w:color="auto"/>
            <w:right w:val="none" w:sz="0" w:space="0" w:color="auto"/>
          </w:divBdr>
        </w:div>
        <w:div w:id="935289915">
          <w:marLeft w:val="0"/>
          <w:marRight w:val="0"/>
          <w:marTop w:val="0"/>
          <w:marBottom w:val="0"/>
          <w:divBdr>
            <w:top w:val="none" w:sz="0" w:space="0" w:color="auto"/>
            <w:left w:val="none" w:sz="0" w:space="0" w:color="auto"/>
            <w:bottom w:val="none" w:sz="0" w:space="0" w:color="auto"/>
            <w:right w:val="none" w:sz="0" w:space="0" w:color="auto"/>
          </w:divBdr>
        </w:div>
        <w:div w:id="1196427668">
          <w:marLeft w:val="0"/>
          <w:marRight w:val="0"/>
          <w:marTop w:val="0"/>
          <w:marBottom w:val="0"/>
          <w:divBdr>
            <w:top w:val="none" w:sz="0" w:space="0" w:color="auto"/>
            <w:left w:val="none" w:sz="0" w:space="0" w:color="auto"/>
            <w:bottom w:val="none" w:sz="0" w:space="0" w:color="auto"/>
            <w:right w:val="none" w:sz="0" w:space="0" w:color="auto"/>
          </w:divBdr>
        </w:div>
        <w:div w:id="1878152865">
          <w:marLeft w:val="0"/>
          <w:marRight w:val="0"/>
          <w:marTop w:val="0"/>
          <w:marBottom w:val="0"/>
          <w:divBdr>
            <w:top w:val="none" w:sz="0" w:space="0" w:color="auto"/>
            <w:left w:val="none" w:sz="0" w:space="0" w:color="auto"/>
            <w:bottom w:val="none" w:sz="0" w:space="0" w:color="auto"/>
            <w:right w:val="none" w:sz="0" w:space="0" w:color="auto"/>
          </w:divBdr>
        </w:div>
        <w:div w:id="309527638">
          <w:marLeft w:val="0"/>
          <w:marRight w:val="0"/>
          <w:marTop w:val="0"/>
          <w:marBottom w:val="0"/>
          <w:divBdr>
            <w:top w:val="none" w:sz="0" w:space="0" w:color="auto"/>
            <w:left w:val="none" w:sz="0" w:space="0" w:color="auto"/>
            <w:bottom w:val="none" w:sz="0" w:space="0" w:color="auto"/>
            <w:right w:val="none" w:sz="0" w:space="0" w:color="auto"/>
          </w:divBdr>
        </w:div>
        <w:div w:id="1816532511">
          <w:marLeft w:val="0"/>
          <w:marRight w:val="0"/>
          <w:marTop w:val="0"/>
          <w:marBottom w:val="0"/>
          <w:divBdr>
            <w:top w:val="none" w:sz="0" w:space="0" w:color="auto"/>
            <w:left w:val="none" w:sz="0" w:space="0" w:color="auto"/>
            <w:bottom w:val="none" w:sz="0" w:space="0" w:color="auto"/>
            <w:right w:val="none" w:sz="0" w:space="0" w:color="auto"/>
          </w:divBdr>
        </w:div>
        <w:div w:id="832061427">
          <w:marLeft w:val="0"/>
          <w:marRight w:val="0"/>
          <w:marTop w:val="0"/>
          <w:marBottom w:val="0"/>
          <w:divBdr>
            <w:top w:val="none" w:sz="0" w:space="0" w:color="auto"/>
            <w:left w:val="none" w:sz="0" w:space="0" w:color="auto"/>
            <w:bottom w:val="none" w:sz="0" w:space="0" w:color="auto"/>
            <w:right w:val="none" w:sz="0" w:space="0" w:color="auto"/>
          </w:divBdr>
        </w:div>
        <w:div w:id="1559314784">
          <w:marLeft w:val="0"/>
          <w:marRight w:val="0"/>
          <w:marTop w:val="0"/>
          <w:marBottom w:val="0"/>
          <w:divBdr>
            <w:top w:val="none" w:sz="0" w:space="0" w:color="auto"/>
            <w:left w:val="none" w:sz="0" w:space="0" w:color="auto"/>
            <w:bottom w:val="none" w:sz="0" w:space="0" w:color="auto"/>
            <w:right w:val="none" w:sz="0" w:space="0" w:color="auto"/>
          </w:divBdr>
        </w:div>
        <w:div w:id="673532362">
          <w:marLeft w:val="0"/>
          <w:marRight w:val="0"/>
          <w:marTop w:val="0"/>
          <w:marBottom w:val="0"/>
          <w:divBdr>
            <w:top w:val="none" w:sz="0" w:space="0" w:color="auto"/>
            <w:left w:val="none" w:sz="0" w:space="0" w:color="auto"/>
            <w:bottom w:val="none" w:sz="0" w:space="0" w:color="auto"/>
            <w:right w:val="none" w:sz="0" w:space="0" w:color="auto"/>
          </w:divBdr>
        </w:div>
        <w:div w:id="1776750368">
          <w:marLeft w:val="0"/>
          <w:marRight w:val="0"/>
          <w:marTop w:val="0"/>
          <w:marBottom w:val="0"/>
          <w:divBdr>
            <w:top w:val="none" w:sz="0" w:space="0" w:color="auto"/>
            <w:left w:val="none" w:sz="0" w:space="0" w:color="auto"/>
            <w:bottom w:val="none" w:sz="0" w:space="0" w:color="auto"/>
            <w:right w:val="none" w:sz="0" w:space="0" w:color="auto"/>
          </w:divBdr>
        </w:div>
        <w:div w:id="1576937682">
          <w:marLeft w:val="0"/>
          <w:marRight w:val="0"/>
          <w:marTop w:val="0"/>
          <w:marBottom w:val="0"/>
          <w:divBdr>
            <w:top w:val="none" w:sz="0" w:space="0" w:color="auto"/>
            <w:left w:val="none" w:sz="0" w:space="0" w:color="auto"/>
            <w:bottom w:val="none" w:sz="0" w:space="0" w:color="auto"/>
            <w:right w:val="none" w:sz="0" w:space="0" w:color="auto"/>
          </w:divBdr>
        </w:div>
        <w:div w:id="475532236">
          <w:marLeft w:val="0"/>
          <w:marRight w:val="0"/>
          <w:marTop w:val="0"/>
          <w:marBottom w:val="0"/>
          <w:divBdr>
            <w:top w:val="none" w:sz="0" w:space="0" w:color="auto"/>
            <w:left w:val="none" w:sz="0" w:space="0" w:color="auto"/>
            <w:bottom w:val="none" w:sz="0" w:space="0" w:color="auto"/>
            <w:right w:val="none" w:sz="0" w:space="0" w:color="auto"/>
          </w:divBdr>
        </w:div>
        <w:div w:id="642583859">
          <w:marLeft w:val="0"/>
          <w:marRight w:val="0"/>
          <w:marTop w:val="0"/>
          <w:marBottom w:val="0"/>
          <w:divBdr>
            <w:top w:val="none" w:sz="0" w:space="0" w:color="auto"/>
            <w:left w:val="none" w:sz="0" w:space="0" w:color="auto"/>
            <w:bottom w:val="none" w:sz="0" w:space="0" w:color="auto"/>
            <w:right w:val="none" w:sz="0" w:space="0" w:color="auto"/>
          </w:divBdr>
        </w:div>
      </w:divsChild>
    </w:div>
    <w:div w:id="212719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123</Words>
  <Characters>707</Characters>
  <Application>Microsoft Office Word</Application>
  <DocSecurity>0</DocSecurity>
  <Lines>5</Lines>
  <Paragraphs>1</Paragraphs>
  <ScaleCrop>false</ScaleCrop>
  <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仪器仪表 恒奥德</dc:creator>
  <cp:keywords/>
  <dc:description/>
  <cp:lastModifiedBy>仪器仪表 恒奥德</cp:lastModifiedBy>
  <cp:revision>1</cp:revision>
  <dcterms:created xsi:type="dcterms:W3CDTF">2024-04-12T00:12:00Z</dcterms:created>
  <dcterms:modified xsi:type="dcterms:W3CDTF">2024-04-12T00:27:00Z</dcterms:modified>
</cp:coreProperties>
</file>